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3BA03">
      <w:pPr>
        <w:spacing w:line="660" w:lineRule="exact"/>
        <w:jc w:val="center"/>
        <w:rPr>
          <w:rFonts w:hint="eastAsia" w:ascii="方正小标宋简体" w:hAnsi="方正小标宋简体" w:eastAsia="方正小标宋简体" w:cs="方正小标宋简体"/>
          <w:sz w:val="44"/>
          <w:szCs w:val="44"/>
        </w:rPr>
      </w:pPr>
      <w:bookmarkStart w:id="1" w:name="_GoBack"/>
      <w:bookmarkEnd w:id="1"/>
      <w:r>
        <w:rPr>
          <w:rFonts w:hint="eastAsia" w:ascii="方正小标宋简体" w:hAnsi="方正小标宋简体" w:eastAsia="方正小标宋简体" w:cs="方正小标宋简体"/>
          <w:sz w:val="44"/>
          <w:szCs w:val="44"/>
        </w:rPr>
        <w:t>广东省农垦集团财务有限公司</w:t>
      </w:r>
    </w:p>
    <w:p w14:paraId="1323D51E">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2025年度社会责任报告</w:t>
      </w:r>
    </w:p>
    <w:p w14:paraId="60B39313">
      <w:pPr>
        <w:spacing w:line="560" w:lineRule="exact"/>
        <w:ind w:firstLine="640" w:firstLineChars="200"/>
        <w:rPr>
          <w:rFonts w:hint="eastAsia" w:ascii="仿宋" w:hAnsi="仿宋" w:eastAsia="仿宋" w:cs="仿宋"/>
          <w:sz w:val="32"/>
          <w:szCs w:val="32"/>
        </w:rPr>
      </w:pPr>
    </w:p>
    <w:p w14:paraId="641E1C10">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2025年，广东省农垦集团财务有限公司（以下简称“公司”）秉持“</w:t>
      </w:r>
      <w:r>
        <w:rPr>
          <w:rFonts w:hint="eastAsia" w:ascii="仿宋_GB2312" w:eastAsia="仿宋_GB2312"/>
          <w:color w:val="auto"/>
          <w:sz w:val="32"/>
          <w:szCs w:val="32"/>
        </w:rPr>
        <w:t>正心诚意、奋进创新</w:t>
      </w:r>
      <w:r>
        <w:rPr>
          <w:rFonts w:hint="eastAsia" w:ascii="仿宋_GB2312" w:hAnsi="仿宋_GB2312" w:eastAsia="仿宋_GB2312" w:cs="仿宋_GB2312"/>
          <w:color w:val="auto"/>
          <w:sz w:val="32"/>
          <w:szCs w:val="32"/>
        </w:rPr>
        <w:t>”的核心价值观，深入贯彻党的二十大及二十届历次全会精神，坚决落实广东省农垦集团公司（以下简称“广东农垦”）“1339”工作部署，深入实施广东农垦再造战略，以服务实体经济、推动高质量发展为己任，在夯实管理根基、发挥金融职能、保障员工权益等方面持续发力，全面履行企业社会责任。</w:t>
      </w:r>
    </w:p>
    <w:p w14:paraId="72277BAF">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一、企业概况</w:t>
      </w:r>
    </w:p>
    <w:p w14:paraId="6FC0DBA9">
      <w:pPr>
        <w:spacing w:line="600" w:lineRule="exact"/>
        <w:ind w:firstLine="640" w:firstLineChars="200"/>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公司是以加强广东农垦资金集中管理和提高资金使用效率为目的的非银行金融机构。成立于2019年11月，注册资本为10亿元。公司坚持辅助集团管理和内部金融服务属性，充分发挥集团资金归集平台、资金结算平台、资金监控平台和金融服务平台的作用，持续为垦区企业降本增效，助力垦区经济高质量发展。</w:t>
      </w:r>
    </w:p>
    <w:p w14:paraId="0D62E197">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二、完善现代企业治理体系，夯实可持续发展根基</w:t>
      </w:r>
    </w:p>
    <w:p w14:paraId="2D7CD955">
      <w:pPr>
        <w:spacing w:line="600" w:lineRule="exact"/>
        <w:ind w:firstLine="643" w:firstLineChars="200"/>
        <w:rPr>
          <w:rFonts w:hint="eastAsia" w:ascii="仿宋" w:hAnsi="仿宋" w:eastAsia="楷体" w:cs="仿宋"/>
          <w:sz w:val="32"/>
          <w:szCs w:val="32"/>
        </w:rPr>
      </w:pPr>
      <w:r>
        <w:rPr>
          <w:rFonts w:hint="eastAsia" w:ascii="楷体" w:hAnsi="楷体" w:eastAsia="楷体" w:cs="楷体"/>
          <w:b/>
          <w:bCs/>
          <w:sz w:val="32"/>
          <w:szCs w:val="32"/>
        </w:rPr>
        <w:t>（一）优化公司治理体系</w:t>
      </w:r>
    </w:p>
    <w:p w14:paraId="7D58EAED">
      <w:pPr>
        <w:spacing w:line="60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 w:eastAsia="仿宋_GB2312"/>
          <w:sz w:val="32"/>
          <w:szCs w:val="32"/>
        </w:rPr>
        <w:t>公司持续优化“三会一层”治理体系，进一步明确支委会、董事会、监事会和经营层的权责边界，持续健全各治理主体独立运作、有效制衡、协同高效的工作机制。全年共召开股东会会议2次，董事会会议10次，监事会会议5次</w:t>
      </w:r>
      <w:r>
        <w:rPr>
          <w:rFonts w:hint="eastAsia" w:ascii="仿宋_GB2312" w:hAnsi="仿宋" w:eastAsia="仿宋_GB2312"/>
          <w:color w:val="0000FF"/>
          <w:sz w:val="32"/>
          <w:szCs w:val="32"/>
        </w:rPr>
        <w:t>。</w:t>
      </w:r>
      <w:r>
        <w:rPr>
          <w:rFonts w:hint="eastAsia" w:ascii="仿宋_GB2312" w:hAnsi="仿宋" w:eastAsia="仿宋_GB2312"/>
          <w:color w:val="auto"/>
          <w:sz w:val="32"/>
          <w:szCs w:val="32"/>
        </w:rPr>
        <w:t>各股东、董事、监事严格依照《公司章程》及相关议事规则行使职权，确保各项经营决策的民主化、科学化、法治化，为公司稳健经营提供了坚实的治理保障。</w:t>
      </w:r>
    </w:p>
    <w:p w14:paraId="052D9A7C">
      <w:pPr>
        <w:numPr>
          <w:ilvl w:val="0"/>
          <w:numId w:val="1"/>
        </w:numPr>
        <w:kinsoku/>
        <w:autoSpaceDE/>
        <w:autoSpaceDN/>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筑牢制度体系基石</w:t>
      </w:r>
    </w:p>
    <w:p w14:paraId="3512613D">
      <w:pPr>
        <w:spacing w:line="600" w:lineRule="exact"/>
        <w:ind w:firstLine="640" w:firstLineChars="200"/>
        <w:rPr>
          <w:rFonts w:ascii="仿宋_GB2312" w:hAnsi="Cambria" w:eastAsia="仿宋_GB2312"/>
          <w:bCs/>
          <w:sz w:val="32"/>
          <w:szCs w:val="32"/>
        </w:rPr>
      </w:pPr>
      <w:r>
        <w:rPr>
          <w:rFonts w:hint="eastAsia" w:ascii="仿宋_GB2312" w:hAnsi="仿宋_GB2312" w:eastAsia="仿宋_GB2312" w:cs="仿宋_GB2312"/>
          <w:sz w:val="32"/>
          <w:szCs w:val="32"/>
        </w:rPr>
        <w:t>2025年，公司坚持党对金融工作的集中统一领导，深化“党建引领、从严治理”的工作思路，持续落实党和国家对金融机构公司治理提出的新要求、新举措。在报告期内，持续强化内控管理体系建设，聚焦信贷、结算、资金管理等重点领域，动态优化风险防控机制，充分发挥三道防线协同作用，健全内控合规与业务治理长效机制，确保各项风险管理指标均符合监管标准</w:t>
      </w:r>
      <w:r>
        <w:rPr>
          <w:rFonts w:hint="eastAsia" w:ascii="仿宋_GB2312" w:hAnsi="等线" w:eastAsia="仿宋_GB2312"/>
          <w:bCs/>
          <w:sz w:val="32"/>
          <w:szCs w:val="32"/>
        </w:rPr>
        <w:t>。</w:t>
      </w:r>
      <w:r>
        <w:rPr>
          <w:rFonts w:hint="eastAsia" w:ascii="仿宋_GB2312" w:hAnsi="Cambria" w:eastAsia="仿宋_GB2312"/>
          <w:bCs/>
          <w:sz w:val="32"/>
          <w:szCs w:val="32"/>
        </w:rPr>
        <w:t>2025年度，公司共发布制度20个批次，新增9项、修订19项、废止3项，期末有效制度163项，并及时根据业务实际更新《内控手册》。内控制度体系的持续完善，显著增强了公司对经营风险的识别、评估与防控能力，进一步推动公司整体风险管理水平向系统化、精细化和专业化方向迈进。</w:t>
      </w:r>
    </w:p>
    <w:p w14:paraId="399FF005">
      <w:pPr>
        <w:numPr>
          <w:ilvl w:val="0"/>
          <w:numId w:val="1"/>
        </w:numPr>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厚植审慎合规理念</w:t>
      </w:r>
    </w:p>
    <w:p w14:paraId="4157730A">
      <w:pPr>
        <w:spacing w:line="600" w:lineRule="exact"/>
        <w:ind w:firstLine="640" w:firstLineChars="200"/>
        <w:rPr>
          <w:rFonts w:hint="eastAsia" w:ascii="仿宋_GB2312" w:hAnsi="等线" w:eastAsia="仿宋_GB2312"/>
          <w:sz w:val="32"/>
          <w:szCs w:val="32"/>
        </w:rPr>
      </w:pPr>
      <w:bookmarkStart w:id="0" w:name="_Hlk93581594"/>
      <w:r>
        <w:rPr>
          <w:rFonts w:hint="eastAsia" w:ascii="仿宋_GB2312" w:hAnsi="等线" w:eastAsia="仿宋_GB2312"/>
          <w:sz w:val="32"/>
          <w:szCs w:val="32"/>
          <w:lang w:val="en-US" w:eastAsia="zh-CN"/>
        </w:rPr>
        <w:t>2025年，公司</w:t>
      </w:r>
      <w:r>
        <w:rPr>
          <w:rFonts w:hint="eastAsia" w:ascii="仿宋_GB2312" w:hAnsi="等线" w:eastAsia="仿宋_GB2312"/>
          <w:sz w:val="32"/>
          <w:szCs w:val="32"/>
        </w:rPr>
        <w:t>将审慎</w:t>
      </w:r>
      <w:r>
        <w:rPr>
          <w:rFonts w:hint="eastAsia" w:ascii="仿宋_GB2312" w:hAnsi="等线" w:eastAsia="仿宋_GB2312"/>
          <w:sz w:val="32"/>
          <w:szCs w:val="32"/>
          <w:lang w:val="en-US" w:eastAsia="zh-CN"/>
        </w:rPr>
        <w:t>合规理念</w:t>
      </w:r>
      <w:r>
        <w:rPr>
          <w:rFonts w:hint="eastAsia" w:ascii="仿宋_GB2312" w:hAnsi="等线" w:eastAsia="仿宋_GB2312"/>
          <w:sz w:val="32"/>
          <w:szCs w:val="32"/>
        </w:rPr>
        <w:t>全面融入企业文化建设全过程，坚守“正心诚意、奋进创新”核心价值观，树立正确经营观、业绩观和风险观，厚植诚实守信、以义取利、稳健审慎、守正创新、依法合规的金融文化，奉行“合规从高层做起”“全员合规”“主动合规”“合规创造价值”理念，将其作为公司稳健发展的重要基石。</w:t>
      </w:r>
    </w:p>
    <w:p w14:paraId="6FB97DDC">
      <w:pPr>
        <w:spacing w:line="60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2025年，公司进一步加强合规文化建设，一是以党的二十大及二十届历次全会精神为指引，深入贯彻习近平总书记关于金融服务实体经济、防控金融风险的指示批示精神，正确处理好风险防范与业务开展的关系。二是坚守合规经营底线，确保各项许可、资质、证照齐备有效，严格遵照国家金融监督管理总局、人民银行等监管部门要求及财务公司协会行业自律规定，合规稳健开展各项业务。三是精准对接监管导向，严格执行监管规定，落实贷款“三个办法”新规，规范做好贷前调查、贷中审查、贷后检查“三查”工作，严格遵循“了解客户、了解业务、尽职审查”展业三原则，如实反映业务信息，及时报告违规行为及风险隐患。四是提升制度执行效能，以强化内控制度落实为核心，通过集中宣讲、月度经营分析会、员工自学等多种形式，开展规章制度学习，推动制度落地见效。五是深化合规宣传教育，常态化开展反洗钱、扫黑除恶、反电信网络诈骗、防范非法集资、打击金融违法犯罪、反欺诈促合规等工作，以办公场所宣传栏、电子屏幕等为主要阵地，利用好微信公众号、小视频等线上平台，大力开展广泛宣传，实现全员覆盖，着力提升全员风险合规意识和风险应对能力。六是开展以“强基固本”活动，进一步夯实公司各项基础工作，确保公司资金安全、业务合规、支付稳定、数据准确、团队进取、工作高效，提高公司合规性水平和服务集团发展能力，实现广垦财务公司高质量发展。</w:t>
      </w:r>
      <w:bookmarkEnd w:id="0"/>
    </w:p>
    <w:p w14:paraId="5487BB1C">
      <w:pPr>
        <w:numPr>
          <w:ilvl w:val="0"/>
          <w:numId w:val="1"/>
        </w:numPr>
        <w:kinsoku/>
        <w:autoSpaceDE/>
        <w:autoSpaceDN/>
        <w:adjustRightInd/>
        <w:snapToGrid/>
        <w:spacing w:line="600" w:lineRule="exact"/>
        <w:ind w:firstLine="643"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构建清明政治生态圈层</w:t>
      </w:r>
    </w:p>
    <w:p w14:paraId="67D6771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公司深化正风反腐、强化监督效能，制定《2025年纪检工作要点》，召开党风廉政暨纪检工作会议、组织观看警示教育片，严格执行“第一议题”制度，对习近平总书记的重要讲话精神和重要指示批示精神做到第一时间学习领会、第一时间贯彻落实；规范监督执纪流程，全年未发生信访举报事件；扎实开展深入贯彻中央八项规定精神学习教育，通过专题读书班、理论学习会、党课等多种形式推动学习教育走深走实，筑牢思想根基；强化常态化审计监督，开展15个审计项目，提出36个审计问题、完成整改31个，整改完成率86.1%，实现重点业务监督全覆盖；严格执行中央八项规定及其实施细则精神，规范业务招待和公车管理，聚焦选人用人关键环节开展“嵌入式”监督、完善人员录用管理制度，紧盯节日节点强化廉洁提醒，筑牢廉洁防线，为公司高质量发展提供坚强保障。</w:t>
      </w:r>
    </w:p>
    <w:p w14:paraId="1322B72F">
      <w:pPr>
        <w:spacing w:line="600" w:lineRule="exact"/>
        <w:ind w:firstLine="640" w:firstLineChars="200"/>
        <w:rPr>
          <w:rFonts w:eastAsia="宋体"/>
          <w:sz w:val="32"/>
          <w:szCs w:val="32"/>
        </w:rPr>
      </w:pPr>
      <w:r>
        <w:rPr>
          <w:rFonts w:hint="eastAsia" w:ascii="黑体" w:hAnsi="黑体" w:eastAsia="黑体" w:cs="黑体"/>
          <w:sz w:val="32"/>
          <w:szCs w:val="32"/>
        </w:rPr>
        <w:t>三、发挥金融职能作用，助力集团高质量发展</w:t>
      </w:r>
    </w:p>
    <w:p w14:paraId="2A156C27">
      <w:pPr>
        <w:numPr>
          <w:ilvl w:val="255"/>
          <w:numId w:val="0"/>
        </w:numPr>
        <w:kinsoku/>
        <w:autoSpaceDE/>
        <w:autoSpaceDN/>
        <w:adjustRightInd/>
        <w:snapToGrid/>
        <w:spacing w:line="600" w:lineRule="exact"/>
        <w:ind w:firstLine="643" w:firstLineChars="200"/>
        <w:textAlignment w:val="auto"/>
        <w:rPr>
          <w:rFonts w:hint="eastAsia" w:ascii="楷体" w:hAnsi="楷体" w:eastAsia="楷体" w:cs="楷体"/>
          <w:b/>
          <w:bCs/>
          <w:sz w:val="32"/>
        </w:rPr>
      </w:pPr>
      <w:r>
        <w:rPr>
          <w:rFonts w:hint="eastAsia" w:ascii="楷体" w:hAnsi="楷体" w:eastAsia="楷体" w:cs="楷体"/>
          <w:b/>
          <w:bCs/>
          <w:sz w:val="32"/>
        </w:rPr>
        <w:t>（一）</w:t>
      </w:r>
      <w:r>
        <w:rPr>
          <w:rFonts w:hint="eastAsia" w:ascii="楷体" w:hAnsi="楷体" w:eastAsia="楷体"/>
          <w:b/>
          <w:bCs/>
          <w:sz w:val="32"/>
          <w:szCs w:val="32"/>
        </w:rPr>
        <w:t>推动开展各项业务，服务集团产业发展</w:t>
      </w:r>
    </w:p>
    <w:p w14:paraId="0CC19F95">
      <w:pPr>
        <w:spacing w:line="600" w:lineRule="exact"/>
        <w:ind w:firstLine="640" w:firstLineChars="200"/>
        <w:rPr>
          <w:rFonts w:hint="eastAsia" w:ascii="仿宋_GB2312" w:hAnsi="仿宋" w:eastAsia="仿宋_GB2312"/>
          <w:sz w:val="32"/>
          <w:szCs w:val="32"/>
        </w:rPr>
      </w:pP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rPr>
        <w:t>5</w:t>
      </w:r>
      <w:r>
        <w:rPr>
          <w:rFonts w:ascii="仿宋_GB2312" w:hAnsi="仿宋_GB2312" w:eastAsia="仿宋_GB2312" w:cs="仿宋_GB2312"/>
          <w:color w:val="auto"/>
          <w:sz w:val="32"/>
          <w:szCs w:val="32"/>
        </w:rPr>
        <w:t>年，公司</w:t>
      </w:r>
      <w:r>
        <w:rPr>
          <w:rFonts w:hint="eastAsia" w:ascii="仿宋_GB2312" w:hAnsi="仿宋_GB2312" w:eastAsia="仿宋_GB2312" w:cs="仿宋_GB2312"/>
          <w:color w:val="auto"/>
          <w:sz w:val="32"/>
          <w:szCs w:val="32"/>
        </w:rPr>
        <w:t>持续优化融资工作。</w:t>
      </w:r>
      <w:r>
        <w:rPr>
          <w:rFonts w:hint="eastAsia" w:ascii="仿宋_GB2312" w:hAnsi="仿宋" w:eastAsia="仿宋_GB2312"/>
          <w:sz w:val="32"/>
          <w:szCs w:val="32"/>
        </w:rPr>
        <w:t>一是不断降低外部融资规模，优化融资结构。2025年，公司协助集团统筹管理垦区企业融资，平衡直接融资、财司融资以及外部银行融资结构，降低外部融资规模。截至年末，并表企业（不含财司）整体融资规模较上年末下降15.15亿元，降幅为11.4%。</w:t>
      </w:r>
    </w:p>
    <w:p w14:paraId="43027A74">
      <w:pPr>
        <w:numPr>
          <w:ilvl w:val="255"/>
          <w:numId w:val="0"/>
        </w:num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 w:eastAsia="仿宋_GB2312"/>
          <w:sz w:val="32"/>
          <w:szCs w:val="32"/>
        </w:rPr>
        <w:t>二是不断降低融资成本。公司协助集团和垦区企业有效开展各类融资议价谈判。截至年末，集团并表企业平均融资较上年末下降65BP。全年协助集团发行6期超短融、2期中期票据、1期ABS，均以低于集团债券市场估值发行，平均发行成本1.73%，有效降低集团融资成本。同时持续创新金融产品和融资渠道，推动集团“天知2号”知识产权证券化产品发行成立，发行规模2亿元，全场认购倍数2.085，发行利率1.7%，创全国同类产品票面利率新低。</w:t>
      </w:r>
    </w:p>
    <w:p w14:paraId="0F10C797">
      <w:pPr>
        <w:numPr>
          <w:ilvl w:val="255"/>
          <w:numId w:val="0"/>
        </w:numPr>
        <w:spacing w:line="600" w:lineRule="exact"/>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（二）提升金融服务能力，</w:t>
      </w:r>
      <w:r>
        <w:rPr>
          <w:rFonts w:hint="eastAsia" w:ascii="楷体" w:hAnsi="楷体" w:eastAsia="楷体" w:cs="楷体"/>
          <w:b/>
          <w:bCs/>
          <w:sz w:val="32"/>
          <w:szCs w:val="32"/>
        </w:rPr>
        <w:t>助力国家战略资源产业</w:t>
      </w:r>
    </w:p>
    <w:p w14:paraId="73A349D9">
      <w:pPr>
        <w:spacing w:line="600" w:lineRule="exact"/>
        <w:ind w:firstLine="640" w:firstLineChars="200"/>
        <w:rPr>
          <w:rFonts w:hint="eastAsia" w:ascii="楷体" w:hAnsi="楷体" w:eastAsia="楷体" w:cs="楷体"/>
          <w:b/>
          <w:bCs/>
          <w:sz w:val="32"/>
          <w:szCs w:val="32"/>
        </w:rPr>
      </w:pPr>
      <w:r>
        <w:rPr>
          <w:rFonts w:hint="eastAsia" w:ascii="仿宋_GB2312" w:hAnsi="仿宋_GB2312" w:eastAsia="仿宋_GB2312" w:cs="仿宋_GB2312"/>
          <w:color w:val="auto"/>
          <w:sz w:val="32"/>
          <w:szCs w:val="32"/>
        </w:rPr>
        <w:t>2025年，公司积极落实集团战略部署，向橡胶、畜牧、糖业等重点产业提供信贷支持。全年向广垦橡胶集团及下属企业发放贷款（含贴现）10.98亿元，用于支付橡胶采购款，保障国家战略资源的供给；向集团畜牧板块发放贷款6.18亿元，助力稳定生猪产业链；向广垦糖业发放贷款9.08亿元，用于支持其向其下属糖厂采购以及进口原糖，向3家制糖企业发放贷款3.27亿元，支持其原料采购，确保蔗农及时收到甘蔗款项。2025年度累计发放“循环贷”41笔，金额合计6.05亿元，一方面高效响应垦区企业大量、高频、小额资金需求，一方面有效监控垦区企业信贷资金用途和安全，并通过实贷实付助力垦区企业存贷双降、降本增效。</w:t>
      </w:r>
    </w:p>
    <w:p w14:paraId="27D22C07">
      <w:pPr>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（三）扎实推进司库建设</w:t>
      </w:r>
    </w:p>
    <w:p w14:paraId="5D053A9C">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 w:eastAsia="仿宋_GB2312"/>
          <w:sz w:val="32"/>
          <w:szCs w:val="32"/>
        </w:rPr>
        <w:t>2025年，公司顺利完成集团司库系统一期项目建设，并于11月开始生产试运行，并于12月正式上线运行，境外资金已通过SWIFT系统直联+境外中资银行直联+系统导入等多种方式实现线上监控，初步构建“看得见、管得住、用得好”的资金管理新格局，显著提升集团境内外资金统筹能力。</w:t>
      </w:r>
    </w:p>
    <w:p w14:paraId="6530B50A">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四、厚植人才发展根基 彰显金融责任担当</w:t>
      </w:r>
    </w:p>
    <w:p w14:paraId="7FEFDF20">
      <w:pPr>
        <w:widowControl w:val="0"/>
        <w:kinsoku/>
        <w:autoSpaceDE/>
        <w:autoSpaceDN/>
        <w:adjustRightInd/>
        <w:snapToGrid/>
        <w:spacing w:line="600" w:lineRule="exact"/>
        <w:ind w:firstLine="643" w:firstLineChars="200"/>
        <w:textAlignment w:val="auto"/>
        <w:rPr>
          <w:rFonts w:hint="eastAsia" w:ascii="楷体" w:hAnsi="楷体" w:eastAsia="楷体" w:cs="楷体"/>
          <w:b/>
          <w:bCs/>
          <w:sz w:val="32"/>
        </w:rPr>
      </w:pPr>
      <w:r>
        <w:rPr>
          <w:rFonts w:hint="eastAsia" w:ascii="楷体" w:hAnsi="楷体" w:eastAsia="楷体" w:cs="楷体"/>
          <w:b/>
          <w:bCs/>
          <w:sz w:val="32"/>
        </w:rPr>
        <w:t>（一）完善员工权益保护体系</w:t>
      </w:r>
    </w:p>
    <w:p w14:paraId="7C45474C">
      <w:pPr>
        <w:kinsoku/>
        <w:adjustRightInd/>
        <w:snapToGrid/>
        <w:spacing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color w:val="auto"/>
          <w:sz w:val="32"/>
          <w:szCs w:val="32"/>
        </w:rPr>
        <w:t>2025年，根据相关法律法规，公司</w:t>
      </w:r>
      <w:r>
        <w:rPr>
          <w:rFonts w:hint="eastAsia" w:ascii="仿宋_GB2312" w:eastAsia="仿宋_GB2312"/>
          <w:sz w:val="32"/>
          <w:szCs w:val="32"/>
        </w:rPr>
        <w:t>持续完善绩效考评、工资运行等管理制度，强化绩效考评结果运用，增强绩效考评结果与年度绩效、职级调整的关联度，完善正向激励约束机制</w:t>
      </w:r>
      <w:r>
        <w:rPr>
          <w:rFonts w:hint="eastAsia" w:ascii="仿宋_GB2312" w:hAnsi="仿宋" w:eastAsia="仿宋_GB2312"/>
          <w:sz w:val="32"/>
          <w:szCs w:val="32"/>
        </w:rPr>
        <w:t>。</w:t>
      </w:r>
      <w:r>
        <w:rPr>
          <w:rFonts w:hint="eastAsia" w:ascii="仿宋_GB2312" w:hAnsi="仿宋_GB2312" w:eastAsia="仿宋_GB2312" w:cs="仿宋_GB2312"/>
          <w:sz w:val="32"/>
        </w:rPr>
        <w:t>与此同时，公司紧扣国家人才发展战略部署，深化员工教育培训工作，着力提升员工专业履职素养，聚力锻造高素质金融人才队伍，完善金融人才梯队培育体系。在员工人文关怀领域，构建 “健康护航、文化育人”的全方位服务格局：健全年度健康体检常态化机制，工会打造“四季关爱”特色工作品牌，整合生日慰问、体育竞赛、读书交流等多元活动形式，依托 “广垦书香” 文化建设工程营造浓厚学习氛围，全方位增强员工的归属感与幸福感。</w:t>
      </w:r>
    </w:p>
    <w:p w14:paraId="494B566A">
      <w:pPr>
        <w:spacing w:line="600" w:lineRule="exact"/>
        <w:ind w:firstLine="643" w:firstLineChars="200"/>
        <w:rPr>
          <w:rFonts w:hint="eastAsia" w:ascii="楷体" w:hAnsi="楷体" w:eastAsia="楷体" w:cs="楷体"/>
          <w:b/>
          <w:bCs/>
          <w:sz w:val="32"/>
          <w:szCs w:val="32"/>
        </w:rPr>
      </w:pPr>
      <w:r>
        <w:rPr>
          <w:rFonts w:hint="eastAsia" w:ascii="楷体" w:hAnsi="楷体" w:eastAsia="楷体"/>
          <w:b/>
          <w:bCs/>
          <w:sz w:val="32"/>
          <w:szCs w:val="32"/>
        </w:rPr>
        <w:t>（</w:t>
      </w:r>
      <w:r>
        <w:rPr>
          <w:rFonts w:hint="eastAsia" w:ascii="楷体" w:hAnsi="楷体" w:eastAsia="楷体"/>
          <w:b/>
          <w:bCs/>
          <w:sz w:val="32"/>
          <w:szCs w:val="32"/>
          <w:lang w:val="en-US" w:eastAsia="zh-CN"/>
        </w:rPr>
        <w:t>二</w:t>
      </w:r>
      <w:r>
        <w:rPr>
          <w:rFonts w:hint="eastAsia" w:ascii="楷体" w:hAnsi="楷体" w:eastAsia="楷体"/>
          <w:b/>
          <w:bCs/>
          <w:sz w:val="32"/>
          <w:szCs w:val="32"/>
        </w:rPr>
        <w:t>）密切联系监管机构，社会效益颇有成效</w:t>
      </w:r>
    </w:p>
    <w:p w14:paraId="1A83A3BC">
      <w:pPr>
        <w:spacing w:line="600" w:lineRule="exact"/>
        <w:ind w:firstLine="640" w:firstLineChars="200"/>
        <w:rPr>
          <w:rFonts w:hint="eastAsia" w:ascii="楷体" w:hAnsi="楷体" w:eastAsia="楷体" w:cs="楷体"/>
          <w:b/>
          <w:bCs/>
          <w:sz w:val="32"/>
          <w:szCs w:val="32"/>
        </w:rPr>
      </w:pPr>
      <w:r>
        <w:rPr>
          <w:rFonts w:hint="eastAsia" w:ascii="仿宋_GB2312" w:hAnsi="仿宋" w:eastAsia="仿宋_GB2312"/>
          <w:sz w:val="32"/>
          <w:szCs w:val="32"/>
        </w:rPr>
        <w:t>公司始终坚持以合规经营为底线，主动加强与监管机构的常态化沟通对接，精准把握政策导向，同时积极融入地方发展大局，在重点领域主动作为，荣获广州市金融行业协会颁发的普惠金融十佳成果机构奖，彰显了公司在普惠金融服务工作中的责任担当。</w:t>
      </w:r>
    </w:p>
    <w:p w14:paraId="32BC640D">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rPr>
        <w:t>2025年，公司始终坚守初心</w:t>
      </w:r>
      <w:r>
        <w:rPr>
          <w:rFonts w:hint="eastAsia" w:ascii="仿宋_GB2312" w:hAnsi="仿宋_GB2312" w:eastAsia="仿宋_GB2312" w:cs="仿宋_GB2312"/>
          <w:sz w:val="32"/>
          <w:szCs w:val="32"/>
          <w:lang w:val="en-US" w:eastAsia="zh-CN"/>
        </w:rPr>
        <w:t>使命</w:t>
      </w:r>
      <w:r>
        <w:rPr>
          <w:rFonts w:hint="eastAsia" w:ascii="仿宋_GB2312" w:hAnsi="仿宋_GB2312" w:eastAsia="仿宋_GB2312" w:cs="仿宋_GB2312"/>
          <w:sz w:val="32"/>
          <w:szCs w:val="32"/>
        </w:rPr>
        <w:t>，以创新举措开展金融知识宣教、反洗钱宣传及消费者权益保护工作，同步实施防范非法集资专项宣传教育。在社会责任践行上，为高校学生搭建实习实践平台，积极投身公益事业，依托爱心捐助、消费助农等多种途径助力乡村振兴；同时深耕绿色金融发展，组织生态环保公益活动，推进办公区域节能降碳工作，并通过开展专项急救技能培训，全面筑牢安全防线，全方位彰显新时代金融企业的责任与担当。</w:t>
      </w:r>
    </w:p>
    <w:p w14:paraId="00570405">
      <w:pPr>
        <w:spacing w:line="600" w:lineRule="exact"/>
        <w:rPr>
          <w:rFonts w:hint="eastAsia" w:ascii="仿宋_GB2312" w:hAnsi="仿宋_GB2312" w:eastAsia="仿宋_GB2312" w:cs="仿宋_GB2312"/>
        </w:rPr>
      </w:pPr>
    </w:p>
    <w:p w14:paraId="2541D742">
      <w:pPr>
        <w:tabs>
          <w:tab w:val="left" w:pos="5303"/>
        </w:tabs>
        <w:spacing w:line="600" w:lineRule="exact"/>
      </w:pPr>
      <w:r>
        <w:rPr>
          <w:rFonts w:hint="eastAsia"/>
        </w:rPr>
        <w:tab/>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6A3AD">
    <w:pPr>
      <w:spacing w:line="184" w:lineRule="auto"/>
      <w:ind w:left="7535"/>
      <w:rPr>
        <w:rFonts w:hint="eastAsia" w:ascii="宋体" w:hAnsi="宋体" w:eastAsia="宋体" w:cs="宋体"/>
        <w:sz w:val="27"/>
        <w:szCs w:val="2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89396"/>
    <w:multiLevelType w:val="singleLevel"/>
    <w:tmpl w:val="1BA893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ZmI4ZTVjNjVjY2M1OTJlOTkzODk3MGI0NTk5MGMifQ=="/>
  </w:docVars>
  <w:rsids>
    <w:rsidRoot w:val="00E84BDE"/>
    <w:rsid w:val="000C7F9D"/>
    <w:rsid w:val="0020552D"/>
    <w:rsid w:val="00257077"/>
    <w:rsid w:val="00276DC8"/>
    <w:rsid w:val="007F3E10"/>
    <w:rsid w:val="00866283"/>
    <w:rsid w:val="008E5BB7"/>
    <w:rsid w:val="00A14C58"/>
    <w:rsid w:val="00C77B24"/>
    <w:rsid w:val="00D50B5B"/>
    <w:rsid w:val="00E84BDE"/>
    <w:rsid w:val="00E86787"/>
    <w:rsid w:val="00EF56A0"/>
    <w:rsid w:val="00F874BF"/>
    <w:rsid w:val="01C116B2"/>
    <w:rsid w:val="029415CA"/>
    <w:rsid w:val="04090D29"/>
    <w:rsid w:val="04605B4E"/>
    <w:rsid w:val="06895487"/>
    <w:rsid w:val="076C6AD4"/>
    <w:rsid w:val="09F828B9"/>
    <w:rsid w:val="0AB639FE"/>
    <w:rsid w:val="0DBE4159"/>
    <w:rsid w:val="0E1E642B"/>
    <w:rsid w:val="105F16FB"/>
    <w:rsid w:val="13B902B0"/>
    <w:rsid w:val="14A61A19"/>
    <w:rsid w:val="15F4320E"/>
    <w:rsid w:val="191B5C7B"/>
    <w:rsid w:val="1A474886"/>
    <w:rsid w:val="1ADC0369"/>
    <w:rsid w:val="1B035D2A"/>
    <w:rsid w:val="1BAB081D"/>
    <w:rsid w:val="1BAB0DE5"/>
    <w:rsid w:val="1BF00620"/>
    <w:rsid w:val="1DF62D32"/>
    <w:rsid w:val="1F5B3E57"/>
    <w:rsid w:val="210101D2"/>
    <w:rsid w:val="228D2137"/>
    <w:rsid w:val="24E936D9"/>
    <w:rsid w:val="25BD01EF"/>
    <w:rsid w:val="283C698F"/>
    <w:rsid w:val="29322CC4"/>
    <w:rsid w:val="29495830"/>
    <w:rsid w:val="294B5F6E"/>
    <w:rsid w:val="2B964055"/>
    <w:rsid w:val="2BB6785D"/>
    <w:rsid w:val="2F40755D"/>
    <w:rsid w:val="322173EC"/>
    <w:rsid w:val="37067098"/>
    <w:rsid w:val="387B5A5C"/>
    <w:rsid w:val="3B62084E"/>
    <w:rsid w:val="3BF000A3"/>
    <w:rsid w:val="3C011D0B"/>
    <w:rsid w:val="3C3C111F"/>
    <w:rsid w:val="3D644F71"/>
    <w:rsid w:val="3DE847F6"/>
    <w:rsid w:val="3E711032"/>
    <w:rsid w:val="3FF071F6"/>
    <w:rsid w:val="40841196"/>
    <w:rsid w:val="408D2713"/>
    <w:rsid w:val="42111366"/>
    <w:rsid w:val="434C71F8"/>
    <w:rsid w:val="446F3822"/>
    <w:rsid w:val="44757EFF"/>
    <w:rsid w:val="45A2514E"/>
    <w:rsid w:val="49E316DB"/>
    <w:rsid w:val="4A7B12B8"/>
    <w:rsid w:val="4B435137"/>
    <w:rsid w:val="4BA66D64"/>
    <w:rsid w:val="4D5A08DB"/>
    <w:rsid w:val="4EFB7323"/>
    <w:rsid w:val="51A30803"/>
    <w:rsid w:val="52BB364E"/>
    <w:rsid w:val="52D94325"/>
    <w:rsid w:val="52EA3CCA"/>
    <w:rsid w:val="54344FEF"/>
    <w:rsid w:val="54C60186"/>
    <w:rsid w:val="565D378F"/>
    <w:rsid w:val="572564CA"/>
    <w:rsid w:val="587D0EB9"/>
    <w:rsid w:val="58873B66"/>
    <w:rsid w:val="58C17CFD"/>
    <w:rsid w:val="58C773C4"/>
    <w:rsid w:val="59534F33"/>
    <w:rsid w:val="5A281307"/>
    <w:rsid w:val="5A326757"/>
    <w:rsid w:val="5D4D0ABC"/>
    <w:rsid w:val="5D926669"/>
    <w:rsid w:val="5DD130D7"/>
    <w:rsid w:val="624F2E59"/>
    <w:rsid w:val="62B6559F"/>
    <w:rsid w:val="66B44FF6"/>
    <w:rsid w:val="66D318A2"/>
    <w:rsid w:val="69E96E6F"/>
    <w:rsid w:val="6A7C4F12"/>
    <w:rsid w:val="6C11366D"/>
    <w:rsid w:val="6CBD35F3"/>
    <w:rsid w:val="6D5D22CE"/>
    <w:rsid w:val="706C36AB"/>
    <w:rsid w:val="71EF7970"/>
    <w:rsid w:val="720F0413"/>
    <w:rsid w:val="73565FB9"/>
    <w:rsid w:val="7409203A"/>
    <w:rsid w:val="744211E8"/>
    <w:rsid w:val="780D41F1"/>
    <w:rsid w:val="783E4A75"/>
    <w:rsid w:val="7851759A"/>
    <w:rsid w:val="7E097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3">
    <w:name w:val="Normal (Web)"/>
    <w:basedOn w:val="1"/>
    <w:qFormat/>
    <w:uiPriority w:val="0"/>
    <w:pPr>
      <w:spacing w:beforeAutospacing="1" w:afterAutospacing="1"/>
    </w:pPr>
    <w:rPr>
      <w:rFonts w:cs="Times New Roman"/>
      <w:sz w:val="24"/>
    </w:rPr>
  </w:style>
  <w:style w:type="character" w:styleId="6">
    <w:name w:val="Strong"/>
    <w:basedOn w:val="5"/>
    <w:qFormat/>
    <w:uiPriority w:val="0"/>
    <w:rPr>
      <w:b/>
    </w:rPr>
  </w:style>
  <w:style w:type="paragraph" w:customStyle="1" w:styleId="7">
    <w:name w:val="修订1"/>
    <w:hidden/>
    <w:unhideWhenUsed/>
    <w:qFormat/>
    <w:uiPriority w:val="99"/>
    <w:rPr>
      <w:rFonts w:ascii="Arial" w:hAnsi="Arial" w:eastAsia="Arial" w:cs="Arial"/>
      <w:snapToGrid w:val="0"/>
      <w:color w:val="000000"/>
      <w:sz w:val="21"/>
      <w:szCs w:val="21"/>
      <w:lang w:val="en-US" w:eastAsia="zh-CN" w:bidi="ar-SA"/>
    </w:rPr>
  </w:style>
  <w:style w:type="paragraph" w:customStyle="1" w:styleId="8">
    <w:name w:val="Revision"/>
    <w:hidden/>
    <w:unhideWhenUsed/>
    <w:qFormat/>
    <w:uiPriority w:val="99"/>
    <w:rPr>
      <w:rFonts w:ascii="Arial" w:hAnsi="Arial" w:eastAsia="Arial" w:cs="Arial"/>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3369</Words>
  <Characters>3481</Characters>
  <Lines>87</Lines>
  <Paragraphs>45</Paragraphs>
  <TotalTime>12</TotalTime>
  <ScaleCrop>false</ScaleCrop>
  <LinksUpToDate>false</LinksUpToDate>
  <CharactersWithSpaces>3486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2023-08-09T01:14:00Z</dcterms:created>
  <dc:creator>HuangZhongKai</dc:creator>
  <cp:lastModifiedBy>Amber</cp:lastModifiedBy>
  <cp:lastPrinted>2023-09-26T08:44:00Z</cp:lastPrinted>
  <dcterms:modified xsi:type="dcterms:W3CDTF">2026-03-23T05:58:31Z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E863BDB840EE4865B8B2833C2D2A2BAB_13</vt:lpwstr>
  </property>
  <property fmtid="{D5CDD505-2E9C-101B-9397-08002B2CF9AE}" pid="4" name="KSOTemplateDocerSaveRecord">
    <vt:lpwstr>eyJoZGlkIjoiZDI1ZmI4ZTVjNjVjY2M1OTJlOTkzODk3MGI0NTk5MGMiLCJ1c2VySWQiOiIyOTgzNDE5OTgifQ==</vt:lpwstr>
  </property>
</Properties>
</file>